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6"/>
          <w:szCs w:val="26"/>
        </w:rPr>
        <w:t xml:space="preserve">ANUNȚ DE FINALIZARE A PROIECTULUI</w:t>
      </w:r>
    </w:p>
    <w:p>
      <w:pPr>
        <w:spacing w:after="240"/>
        <w:jc w:val="center"/>
      </w:pPr>
      <w:r>
        <w:rPr>
          <w:rFonts w:ascii="Arial" w:cs="Arial" w:eastAsia="Arial" w:hAnsi="Arial"/>
          <w:b/>
          <w:bCs/>
          <w:sz w:val="23"/>
          <w:szCs w:val="23"/>
        </w:rPr>
        <w:t xml:space="preserve">„O ȘANSĂ PENTRU VIITOR ÎN COMUNA BÂRZAVA” – cod F-PNRR-Dotari-2023-5597</w:t>
      </w:r>
    </w:p>
    <w:p>
      <w:pPr>
        <w:spacing w:after="90" w:line="264"/>
        <w:jc w:val="right"/>
      </w:pPr>
      <w:r>
        <w:rPr>
          <w:rFonts w:ascii="Arial" w:cs="Arial" w:eastAsia="Arial" w:hAnsi="Arial"/>
          <w:i/>
          <w:iCs/>
          <w:sz w:val="21"/>
          <w:szCs w:val="21"/>
        </w:rPr>
        <w:t xml:space="preserve">Bârzava, august 2026</w:t>
      </w:r>
    </w:p>
    <w:p>
      <w:pPr>
        <w:spacing w:after="90" w:line="264"/>
        <w:jc w:val="both"/>
      </w:pPr>
      <w:r>
        <w:rPr>
          <w:rFonts w:ascii="Arial" w:cs="Arial" w:eastAsia="Arial" w:hAnsi="Arial"/>
          <w:b/>
          <w:bCs/>
          <w:sz w:val="21"/>
          <w:szCs w:val="21"/>
        </w:rPr>
        <w:t xml:space="preserve">COMUNA BÂRZAVA</w:t>
      </w:r>
      <w:r>
        <w:rPr>
          <w:rFonts w:ascii="Arial" w:cs="Arial" w:eastAsia="Arial" w:hAnsi="Arial"/>
          <w:sz w:val="21"/>
          <w:szCs w:val="21"/>
        </w:rPr>
        <w:t xml:space="preserve">, județul Arad, anunță finalizarea implementării proiectului „O ȘANSĂ PENTRU VIITOR ÎN COMUNA BÂRZAVA”, cod F-PNRR-Dotari-2023-5597, finanțat prin Planul Național de Redresare și Reziliență (PNRR), Pilonul VI – Politici pentru noua generație, Componenta C15 – Educație, Investiția 9 „Asigurarea echipamentelor și a resurselor tehnologice digitale pentru unitățile de învățământ” și Investiția 11 „Asigurarea dotărilor pentru sălile de clasă preuniversitare și laboratoarele/atelierele școlare”, în cadrul apelului „Dotarea cu mobilier, materiale didactice și echipamente digitale a unităților de învățământ preuniversitar și a unităților conexe”.</w:t>
      </w:r>
    </w:p>
    <w:p>
      <w:pPr>
        <w:keepNext/>
        <w:spacing w:after="80" w:before="170"/>
      </w:pPr>
      <w:r>
        <w:rPr>
          <w:rFonts w:ascii="Arial" w:cs="Arial" w:eastAsia="Arial" w:hAnsi="Arial"/>
          <w:b/>
          <w:bCs/>
          <w:color w:val="1F3864"/>
          <w:sz w:val="22"/>
          <w:szCs w:val="22"/>
        </w:rPr>
        <w:t xml:space="preserve">Datele de identificare ale proiectului</w:t>
      </w:r>
    </w:p>
    <w:p>
      <w:pPr>
        <w:spacing w:after="90" w:line="264"/>
        <w:jc w:val="both"/>
      </w:pPr>
      <w:r>
        <w:rPr>
          <w:rFonts w:ascii="Arial" w:cs="Arial" w:eastAsia="Arial" w:hAnsi="Arial"/>
          <w:b/>
          <w:bCs/>
          <w:sz w:val="21"/>
          <w:szCs w:val="21"/>
        </w:rPr>
        <w:t xml:space="preserve">Beneficiar: </w:t>
      </w:r>
      <w:r>
        <w:rPr>
          <w:rFonts w:ascii="Arial" w:cs="Arial" w:eastAsia="Arial" w:hAnsi="Arial"/>
          <w:sz w:val="21"/>
          <w:szCs w:val="21"/>
        </w:rPr>
        <w:t xml:space="preserve">COMUNA BÂRZAVA, CIF 3519135, sat Bârzava nr. 314, comuna Bârzava, județul Arad.</w:t>
      </w:r>
    </w:p>
    <w:p>
      <w:pPr>
        <w:spacing w:after="90" w:line="264"/>
        <w:jc w:val="both"/>
      </w:pPr>
      <w:r>
        <w:rPr>
          <w:rFonts w:ascii="Arial" w:cs="Arial" w:eastAsia="Arial" w:hAnsi="Arial"/>
          <w:b/>
          <w:bCs/>
          <w:sz w:val="21"/>
          <w:szCs w:val="21"/>
        </w:rPr>
        <w:t xml:space="preserve">Unitatea de învățământ beneficiară (beneficiar real): </w:t>
      </w:r>
      <w:r>
        <w:rPr>
          <w:rFonts w:ascii="Arial" w:cs="Arial" w:eastAsia="Arial" w:hAnsi="Arial"/>
          <w:sz w:val="21"/>
          <w:szCs w:val="21"/>
        </w:rPr>
        <w:t xml:space="preserve">Școala Gimnazială Bârzava, CIF 29039998.</w:t>
      </w:r>
    </w:p>
    <w:p>
      <w:pPr>
        <w:spacing w:after="90" w:line="264"/>
        <w:jc w:val="both"/>
      </w:pPr>
      <w:r>
        <w:rPr>
          <w:rFonts w:ascii="Arial" w:cs="Arial" w:eastAsia="Arial" w:hAnsi="Arial"/>
          <w:b/>
          <w:bCs/>
          <w:sz w:val="21"/>
          <w:szCs w:val="21"/>
        </w:rPr>
        <w:t xml:space="preserve">Titlul proiectului: </w:t>
      </w:r>
      <w:r>
        <w:rPr>
          <w:rFonts w:ascii="Arial" w:cs="Arial" w:eastAsia="Arial" w:hAnsi="Arial"/>
          <w:sz w:val="21"/>
          <w:szCs w:val="21"/>
        </w:rPr>
        <w:t xml:space="preserve">„O ȘANSĂ PENTRU VIITOR ÎN COMUNA BÂRZAVA”.</w:t>
      </w:r>
    </w:p>
    <w:p>
      <w:pPr>
        <w:spacing w:after="90" w:line="264"/>
        <w:jc w:val="both"/>
      </w:pPr>
      <w:r>
        <w:rPr>
          <w:rFonts w:ascii="Arial" w:cs="Arial" w:eastAsia="Arial" w:hAnsi="Arial"/>
          <w:b/>
          <w:bCs/>
          <w:sz w:val="21"/>
          <w:szCs w:val="21"/>
        </w:rPr>
        <w:t xml:space="preserve">Cod proiect: </w:t>
      </w:r>
      <w:r>
        <w:rPr>
          <w:rFonts w:ascii="Arial" w:cs="Arial" w:eastAsia="Arial" w:hAnsi="Arial"/>
          <w:sz w:val="21"/>
          <w:szCs w:val="21"/>
        </w:rPr>
        <w:t xml:space="preserve">F-PNRR-Dotari-2023-5597.</w:t>
      </w:r>
    </w:p>
    <w:p>
      <w:pPr>
        <w:spacing w:after="90" w:line="264"/>
        <w:jc w:val="both"/>
      </w:pPr>
      <w:r>
        <w:rPr>
          <w:rFonts w:ascii="Arial" w:cs="Arial" w:eastAsia="Arial" w:hAnsi="Arial"/>
          <w:b/>
          <w:bCs/>
          <w:sz w:val="21"/>
          <w:szCs w:val="21"/>
        </w:rPr>
        <w:t xml:space="preserve">Contract de finanțare: </w:t>
      </w:r>
      <w:r>
        <w:rPr>
          <w:rFonts w:ascii="Arial" w:cs="Arial" w:eastAsia="Arial" w:hAnsi="Arial"/>
          <w:sz w:val="21"/>
          <w:szCs w:val="21"/>
        </w:rPr>
        <w:t xml:space="preserve">nr. 1591DOT/2023, înregistrat la UEFISCDI sub nr. 4092/23.08.2023, încheiat cu Unitatea Executivă pentru Finanțarea Învățământului Superior, a Cercetării, Dezvoltării și Inovării (UEFISCDI), în numele și pentru Ministerul Educației, modificat prin acte adiționale, inclusiv Actul adițional nr. A-6.</w:t>
      </w:r>
    </w:p>
    <w:p>
      <w:pPr>
        <w:spacing w:after="90" w:line="264"/>
        <w:jc w:val="both"/>
      </w:pPr>
      <w:r>
        <w:rPr>
          <w:rFonts w:ascii="Arial" w:cs="Arial" w:eastAsia="Arial" w:hAnsi="Arial"/>
          <w:b/>
          <w:bCs/>
          <w:sz w:val="21"/>
          <w:szCs w:val="21"/>
        </w:rPr>
        <w:t xml:space="preserve">Aprobare: </w:t>
      </w:r>
      <w:r>
        <w:rPr>
          <w:rFonts w:ascii="Arial" w:cs="Arial" w:eastAsia="Arial" w:hAnsi="Arial"/>
          <w:sz w:val="21"/>
          <w:szCs w:val="21"/>
        </w:rPr>
        <w:t xml:space="preserve">proiect aprobat prin Ordinul ministrului educației nr. 4474/14.06.2023.</w:t>
      </w:r>
    </w:p>
    <w:p>
      <w:pPr>
        <w:spacing w:after="90" w:line="264"/>
        <w:jc w:val="both"/>
      </w:pPr>
      <w:r>
        <w:rPr>
          <w:rFonts w:ascii="Arial" w:cs="Arial" w:eastAsia="Arial" w:hAnsi="Arial"/>
          <w:b/>
          <w:bCs/>
          <w:sz w:val="21"/>
          <w:szCs w:val="21"/>
        </w:rPr>
        <w:t xml:space="preserve">Perioada de implementare: </w:t>
      </w:r>
      <w:r>
        <w:rPr>
          <w:rFonts w:ascii="Arial" w:cs="Arial" w:eastAsia="Arial" w:hAnsi="Arial"/>
          <w:sz w:val="21"/>
          <w:szCs w:val="21"/>
        </w:rPr>
        <w:t xml:space="preserve">24 august 2023 – 30 iunie 2026 (prelungită prin Actul adițional nr. A-6).</w:t>
      </w:r>
    </w:p>
    <w:p>
      <w:pPr>
        <w:spacing w:after="90" w:line="264"/>
        <w:jc w:val="both"/>
      </w:pPr>
      <w:r>
        <w:rPr>
          <w:rFonts w:ascii="Arial" w:cs="Arial" w:eastAsia="Arial" w:hAnsi="Arial"/>
          <w:b/>
          <w:bCs/>
          <w:sz w:val="21"/>
          <w:szCs w:val="21"/>
        </w:rPr>
        <w:t xml:space="preserve">Locul de implementare: </w:t>
      </w:r>
      <w:r>
        <w:rPr>
          <w:rFonts w:ascii="Arial" w:cs="Arial" w:eastAsia="Arial" w:hAnsi="Arial"/>
          <w:sz w:val="21"/>
          <w:szCs w:val="21"/>
        </w:rPr>
        <w:t xml:space="preserve">comuna Bârzava, județul Arad.</w:t>
      </w:r>
    </w:p>
    <w:p>
      <w:pPr>
        <w:keepNext/>
        <w:spacing w:after="80" w:before="170"/>
      </w:pPr>
      <w:r>
        <w:rPr>
          <w:rFonts w:ascii="Arial" w:cs="Arial" w:eastAsia="Arial" w:hAnsi="Arial"/>
          <w:b/>
          <w:bCs/>
          <w:color w:val="1F3864"/>
          <w:sz w:val="22"/>
          <w:szCs w:val="22"/>
        </w:rPr>
        <w:t xml:space="preserve">Obiectivul general al proiectului</w:t>
      </w:r>
    </w:p>
    <w:p>
      <w:pPr>
        <w:spacing w:after="90" w:line="264"/>
        <w:jc w:val="both"/>
      </w:pPr>
      <w:r>
        <w:rPr>
          <w:rFonts w:ascii="Arial" w:cs="Arial" w:eastAsia="Arial" w:hAnsi="Arial"/>
          <w:sz w:val="21"/>
          <w:szCs w:val="21"/>
        </w:rPr>
        <w:t xml:space="preserve">Crearea unui mediu de învățare modern, sigur și incluziv în Școlii Gimnaziale Bârzava, prin dotarea cu echipamente digitale, mobilier și materiale didactice, în vederea creșterii calității procesului educațional și a accesului elevilor la educație digitală.</w:t>
      </w:r>
    </w:p>
    <w:p>
      <w:pPr>
        <w:keepNext/>
        <w:spacing w:after="80" w:before="170"/>
      </w:pPr>
      <w:r>
        <w:rPr>
          <w:rFonts w:ascii="Arial" w:cs="Arial" w:eastAsia="Arial" w:hAnsi="Arial"/>
          <w:b/>
          <w:bCs/>
          <w:color w:val="1F3864"/>
          <w:sz w:val="22"/>
          <w:szCs w:val="22"/>
        </w:rPr>
        <w:t xml:space="preserve">Obiective specifice ale proiectului</w:t>
      </w:r>
    </w:p>
    <w:p>
      <w:pPr>
        <w:pStyle w:val="ListParagraph"/>
        <w:numPr>
          <w:ilvl w:val="0"/>
          <w:numId w:val="2"/>
        </w:numPr>
        <w:spacing w:after="60" w:line="264"/>
        <w:jc w:val="both"/>
      </w:pPr>
      <w:r>
        <w:rPr>
          <w:rFonts w:ascii="Arial" w:cs="Arial" w:eastAsia="Arial" w:hAnsi="Arial"/>
          <w:sz w:val="21"/>
          <w:szCs w:val="21"/>
        </w:rPr>
        <w:t xml:space="preserve">Dotarea unui laborator de informatică cu echipamente digitale (tablă interactivă, sisteme de calcul, sistem de sunet, multifuncțională, cameră de videoconferință, router wireless și alte echipamente tehnologice).</w:t>
      </w:r>
    </w:p>
    <w:p>
      <w:pPr>
        <w:pStyle w:val="ListParagraph"/>
        <w:numPr>
          <w:ilvl w:val="0"/>
          <w:numId w:val="2"/>
        </w:numPr>
        <w:spacing w:after="60" w:line="264"/>
        <w:jc w:val="both"/>
      </w:pPr>
      <w:r>
        <w:rPr>
          <w:rFonts w:ascii="Arial" w:cs="Arial" w:eastAsia="Arial" w:hAnsi="Arial"/>
          <w:sz w:val="21"/>
          <w:szCs w:val="21"/>
        </w:rPr>
        <w:t xml:space="preserve">Dotarea a 10 săli de clasă/grupă cu echipamente digitale pentru organizarea învățării în mediul virtual.</w:t>
      </w:r>
    </w:p>
    <w:p>
      <w:pPr>
        <w:pStyle w:val="ListParagraph"/>
        <w:numPr>
          <w:ilvl w:val="0"/>
          <w:numId w:val="2"/>
        </w:numPr>
        <w:spacing w:after="60" w:line="264"/>
        <w:jc w:val="both"/>
      </w:pPr>
      <w:r>
        <w:rPr>
          <w:rFonts w:ascii="Arial" w:cs="Arial" w:eastAsia="Arial" w:hAnsi="Arial"/>
          <w:sz w:val="21"/>
          <w:szCs w:val="21"/>
        </w:rPr>
        <w:t xml:space="preserve">Dotarea a 11 săli de clasă/grupă cu mobilier și materiale didactice.</w:t>
      </w:r>
    </w:p>
    <w:p>
      <w:pPr>
        <w:pStyle w:val="ListParagraph"/>
        <w:numPr>
          <w:ilvl w:val="0"/>
          <w:numId w:val="2"/>
        </w:numPr>
        <w:spacing w:after="60" w:line="264"/>
        <w:jc w:val="both"/>
      </w:pPr>
      <w:r>
        <w:rPr>
          <w:rFonts w:ascii="Arial" w:cs="Arial" w:eastAsia="Arial" w:hAnsi="Arial"/>
          <w:sz w:val="21"/>
          <w:szCs w:val="21"/>
        </w:rPr>
        <w:t xml:space="preserve">Dotarea unui laborator multidisciplinar de științe cu mobilier specific, materiale didactice specifice și echipamente digitale.</w:t>
      </w:r>
    </w:p>
    <w:p>
      <w:pPr>
        <w:pStyle w:val="ListParagraph"/>
        <w:numPr>
          <w:ilvl w:val="0"/>
          <w:numId w:val="2"/>
        </w:numPr>
        <w:spacing w:after="60" w:line="264"/>
        <w:jc w:val="both"/>
      </w:pPr>
      <w:r>
        <w:rPr>
          <w:rFonts w:ascii="Arial" w:cs="Arial" w:eastAsia="Arial" w:hAnsi="Arial"/>
          <w:sz w:val="21"/>
          <w:szCs w:val="21"/>
        </w:rPr>
        <w:t xml:space="preserve">Dotarea a 3 spații școlare – un cabinet de matematică, un cabinet de asistență psihopedagogică și sala de sport – cu mobilier, materiale didactice și materiale sportive.</w:t>
      </w:r>
    </w:p>
    <w:p>
      <w:pPr>
        <w:keepNext/>
        <w:spacing w:after="80" w:before="170"/>
      </w:pPr>
      <w:r>
        <w:rPr>
          <w:rFonts w:ascii="Arial" w:cs="Arial" w:eastAsia="Arial" w:hAnsi="Arial"/>
          <w:b/>
          <w:bCs/>
          <w:color w:val="1F3864"/>
          <w:sz w:val="22"/>
          <w:szCs w:val="22"/>
        </w:rPr>
        <w:t xml:space="preserve">Rezultate principale obținute</w:t>
      </w:r>
    </w:p>
    <w:p>
      <w:pPr>
        <w:pStyle w:val="ListParagraph"/>
        <w:numPr>
          <w:ilvl w:val="0"/>
          <w:numId w:val="2"/>
        </w:numPr>
        <w:spacing w:after="60" w:line="264"/>
        <w:jc w:val="both"/>
      </w:pPr>
      <w:r>
        <w:rPr>
          <w:rFonts w:ascii="Arial" w:cs="Arial" w:eastAsia="Arial" w:hAnsi="Arial"/>
          <w:sz w:val="21"/>
          <w:szCs w:val="21"/>
        </w:rPr>
        <w:t xml:space="preserve">1 laborator de informatică dotat cu echipamente digitale;</w:t>
      </w:r>
    </w:p>
    <w:p>
      <w:pPr>
        <w:pStyle w:val="ListParagraph"/>
        <w:numPr>
          <w:ilvl w:val="0"/>
          <w:numId w:val="2"/>
        </w:numPr>
        <w:spacing w:after="60" w:line="264"/>
        <w:jc w:val="both"/>
      </w:pPr>
      <w:r>
        <w:rPr>
          <w:rFonts w:ascii="Arial" w:cs="Arial" w:eastAsia="Arial" w:hAnsi="Arial"/>
          <w:sz w:val="21"/>
          <w:szCs w:val="21"/>
        </w:rPr>
        <w:t xml:space="preserve">10 săli de clasă/grupă dotate cu echipamente digitale pentru învățarea în mediul virtual;</w:t>
      </w:r>
    </w:p>
    <w:p>
      <w:pPr>
        <w:pStyle w:val="ListParagraph"/>
        <w:numPr>
          <w:ilvl w:val="0"/>
          <w:numId w:val="2"/>
        </w:numPr>
        <w:spacing w:after="60" w:line="264"/>
        <w:jc w:val="both"/>
      </w:pPr>
      <w:r>
        <w:rPr>
          <w:rFonts w:ascii="Arial" w:cs="Arial" w:eastAsia="Arial" w:hAnsi="Arial"/>
          <w:sz w:val="21"/>
          <w:szCs w:val="21"/>
        </w:rPr>
        <w:t xml:space="preserve">11 săli de clasă/grupă dotate cu mobilier și materiale didactice;</w:t>
      </w:r>
    </w:p>
    <w:p>
      <w:pPr>
        <w:pStyle w:val="ListParagraph"/>
        <w:numPr>
          <w:ilvl w:val="0"/>
          <w:numId w:val="2"/>
        </w:numPr>
        <w:spacing w:after="60" w:line="264"/>
        <w:jc w:val="both"/>
      </w:pPr>
      <w:r>
        <w:rPr>
          <w:rFonts w:ascii="Arial" w:cs="Arial" w:eastAsia="Arial" w:hAnsi="Arial"/>
          <w:sz w:val="21"/>
          <w:szCs w:val="21"/>
        </w:rPr>
        <w:t xml:space="preserve">1 laborator multidisciplinar de științe dotat cu mobilier specific, materiale didactice și echipamente digitale;</w:t>
      </w:r>
    </w:p>
    <w:p>
      <w:pPr>
        <w:pStyle w:val="ListParagraph"/>
        <w:numPr>
          <w:ilvl w:val="0"/>
          <w:numId w:val="2"/>
        </w:numPr>
        <w:spacing w:after="60" w:line="264"/>
        <w:jc w:val="both"/>
      </w:pPr>
      <w:r>
        <w:rPr>
          <w:rFonts w:ascii="Arial" w:cs="Arial" w:eastAsia="Arial" w:hAnsi="Arial"/>
          <w:sz w:val="21"/>
          <w:szCs w:val="21"/>
        </w:rPr>
        <w:t xml:space="preserve">3 spații școlare (cabinet de matematică, cabinet de asistență psihopedagogică, sală de sport) dotate cu mobilier, materiale didactice și sportive;</w:t>
      </w:r>
    </w:p>
    <w:p>
      <w:pPr>
        <w:pStyle w:val="ListParagraph"/>
        <w:numPr>
          <w:ilvl w:val="0"/>
          <w:numId w:val="2"/>
        </w:numPr>
        <w:spacing w:after="60" w:line="264"/>
        <w:jc w:val="both"/>
      </w:pPr>
      <w:r>
        <w:rPr>
          <w:rFonts w:ascii="Arial" w:cs="Arial" w:eastAsia="Arial" w:hAnsi="Arial"/>
          <w:sz w:val="21"/>
          <w:szCs w:val="21"/>
        </w:rPr>
        <w:t xml:space="preserve">în total, 1.134 de bunuri (193 de poziții) – echipamente digitale, mobilier și materiale didactice – livrate, recepționate și puse la dispoziția elevilor și cadrelor didactice: 115 bunuri aferente Investiției 9 și 1.019 bunuri aferente Investiției 11;</w:t>
      </w:r>
    </w:p>
    <w:p>
      <w:pPr>
        <w:pStyle w:val="ListParagraph"/>
        <w:numPr>
          <w:ilvl w:val="0"/>
          <w:numId w:val="2"/>
        </w:numPr>
        <w:spacing w:after="60" w:line="264"/>
        <w:jc w:val="both"/>
      </w:pPr>
      <w:r>
        <w:rPr>
          <w:rFonts w:ascii="Arial" w:cs="Arial" w:eastAsia="Arial" w:hAnsi="Arial"/>
          <w:sz w:val="21"/>
          <w:szCs w:val="21"/>
        </w:rPr>
        <w:t xml:space="preserve">transferul cu titlu gratuit al dreptului de proprietate asupra bunurilor către Școala Gimnazială Bârzava, aprobat prin Hotărârea Consiliului Local nr. 97/28.08.2026 și realizat prin Procesul-verbal de predare-primire nr. 3609/31.08.2026.</w:t>
      </w:r>
    </w:p>
    <w:p>
      <w:pPr>
        <w:keepNext/>
        <w:spacing w:after="80" w:before="170"/>
      </w:pPr>
      <w:r>
        <w:rPr>
          <w:rFonts w:ascii="Arial" w:cs="Arial" w:eastAsia="Arial" w:hAnsi="Arial"/>
          <w:b/>
          <w:bCs/>
          <w:color w:val="1F3864"/>
          <w:sz w:val="22"/>
          <w:szCs w:val="22"/>
        </w:rPr>
        <w:t xml:space="preserve">Valoarea proiectului</w:t>
      </w:r>
    </w:p>
    <w:p>
      <w:pPr>
        <w:pStyle w:val="ListParagraph"/>
        <w:numPr>
          <w:ilvl w:val="0"/>
          <w:numId w:val="2"/>
        </w:numPr>
        <w:spacing w:after="60" w:line="264"/>
        <w:jc w:val="both"/>
      </w:pPr>
      <w:r>
        <w:rPr>
          <w:rFonts w:ascii="Arial" w:cs="Arial" w:eastAsia="Arial" w:hAnsi="Arial"/>
          <w:sz w:val="21"/>
          <w:szCs w:val="21"/>
        </w:rPr>
        <w:t xml:space="preserve">Valoarea totală a contractului de finanțare (inclusiv TVA): 862.436,73 lei;</w:t>
      </w:r>
    </w:p>
    <w:p>
      <w:pPr>
        <w:pStyle w:val="ListParagraph"/>
        <w:numPr>
          <w:ilvl w:val="0"/>
          <w:numId w:val="2"/>
        </w:numPr>
        <w:spacing w:after="60" w:line="264"/>
        <w:jc w:val="both"/>
      </w:pPr>
      <w:r>
        <w:rPr>
          <w:rFonts w:ascii="Arial" w:cs="Arial" w:eastAsia="Arial" w:hAnsi="Arial"/>
          <w:sz w:val="21"/>
          <w:szCs w:val="21"/>
        </w:rPr>
        <w:t xml:space="preserve">Valoare eligibilă din PNRR (fără TVA): 724.736,75 lei;</w:t>
      </w:r>
    </w:p>
    <w:p>
      <w:pPr>
        <w:pStyle w:val="ListParagraph"/>
        <w:numPr>
          <w:ilvl w:val="0"/>
          <w:numId w:val="2"/>
        </w:numPr>
        <w:spacing w:after="60" w:line="264"/>
        <w:jc w:val="both"/>
      </w:pPr>
      <w:r>
        <w:rPr>
          <w:rFonts w:ascii="Arial" w:cs="Arial" w:eastAsia="Arial" w:hAnsi="Arial"/>
          <w:sz w:val="21"/>
          <w:szCs w:val="21"/>
        </w:rPr>
        <w:t xml:space="preserve">TVA eligibilă aferentă: 137.699,98 lei;</w:t>
      </w:r>
    </w:p>
    <w:p>
      <w:pPr>
        <w:pStyle w:val="ListParagraph"/>
        <w:numPr>
          <w:ilvl w:val="0"/>
          <w:numId w:val="2"/>
        </w:numPr>
        <w:spacing w:after="60" w:line="264"/>
        <w:jc w:val="both"/>
      </w:pPr>
      <w:r>
        <w:rPr>
          <w:rFonts w:ascii="Arial" w:cs="Arial" w:eastAsia="Arial" w:hAnsi="Arial"/>
          <w:sz w:val="21"/>
          <w:szCs w:val="21"/>
        </w:rPr>
        <w:t xml:space="preserve">Valoare neeligibilă: 0,00 lei.</w:t>
      </w:r>
    </w:p>
    <w:p>
      <w:pPr>
        <w:spacing w:after="120" w:before="120" w:line="276"/>
        <w:jc w:val="both"/>
      </w:pPr>
      <w:r>
        <w:rPr>
          <w:rFonts w:ascii="Arial" w:cs="Arial" w:eastAsia="Arial" w:hAnsi="Arial"/>
          <w:sz w:val="21"/>
          <w:szCs w:val="21"/>
        </w:rPr>
        <w:t xml:space="preserve">Valoarea efectiv realizată a bunurilor achiziționate este de 808.045,25 lei, inclusiv TVA (676.745,12 lei fără TVA și 131.300,13 lei TVA), din care 281.483,37 lei aferenți Investiției 9 și 526.561,88 lei aferenți Investiției 11. Din această valoare, 805.870,75 lei au fost finanțați din PNRR (inclusiv TVA eligibilă de 129.125,63 lei), iar 2.174,50 lei, reprezentând diferența de TVA, au fost suportați din bugetul local. Față de valoarea contractului de finanțare s-au înregistrat economii de 56.565,98 lei, obținute în urma procedurilor de achiziție publică derulate prin SEAP.</w:t>
      </w:r>
    </w:p>
    <w:p>
      <w:pPr>
        <w:keepNext/>
        <w:spacing w:after="80" w:before="170"/>
      </w:pPr>
      <w:r>
        <w:rPr>
          <w:rFonts w:ascii="Arial" w:cs="Arial" w:eastAsia="Arial" w:hAnsi="Arial"/>
          <w:b/>
          <w:bCs/>
          <w:color w:val="1F3864"/>
          <w:sz w:val="22"/>
          <w:szCs w:val="22"/>
        </w:rPr>
        <w:t xml:space="preserve">Durabilitatea investiției</w:t>
      </w:r>
    </w:p>
    <w:p>
      <w:pPr>
        <w:spacing w:after="90" w:line="264"/>
        <w:jc w:val="both"/>
      </w:pPr>
      <w:r>
        <w:rPr>
          <w:rFonts w:ascii="Arial" w:cs="Arial" w:eastAsia="Arial" w:hAnsi="Arial"/>
          <w:sz w:val="21"/>
          <w:szCs w:val="21"/>
        </w:rPr>
        <w:t xml:space="preserve">Comuna Bârzava are obligația de a menține investiția pe perioada valabilității contractului de finanțare și de a păstra documentele proiectului timp de 10 ani de la încheierea exercițiului financiar în care a fost efectuată ultima plată. Unitățile de învățământ care au preluat bunurile le utilizează exclusiv pentru procesul de învățământ, asigură integritatea, întreținerea și inventarierea acestora, păstrează elementele de identificare a finanțării prin PNRR și permit accesul autorităților competente pentru verificări, control și audit.</w:t>
      </w:r>
    </w:p>
    <w:p>
      <w:pPr>
        <w:keepNext/>
        <w:spacing w:after="80" w:before="170"/>
      </w:pPr>
      <w:r>
        <w:rPr>
          <w:rFonts w:ascii="Arial" w:cs="Arial" w:eastAsia="Arial" w:hAnsi="Arial"/>
          <w:b/>
          <w:bCs/>
          <w:color w:val="1F3864"/>
          <w:sz w:val="22"/>
          <w:szCs w:val="22"/>
        </w:rPr>
        <w:t xml:space="preserve">Date de contact</w:t>
      </w:r>
    </w:p>
    <w:p>
      <w:pPr>
        <w:spacing w:after="60"/>
        <w:jc w:val="left"/>
      </w:pPr>
      <w:r>
        <w:rPr>
          <w:rFonts w:ascii="Arial" w:cs="Arial" w:eastAsia="Arial" w:hAnsi="Arial"/>
          <w:sz w:val="21"/>
          <w:szCs w:val="21"/>
        </w:rPr>
        <w:t xml:space="preserve">COMUNA BÂRZAVA – sat Bârzava nr. 314, comuna Bârzava, județul Arad, cod poștal 317030</w:t>
      </w:r>
    </w:p>
    <w:p>
      <w:pPr>
        <w:spacing w:after="90" w:line="264"/>
        <w:jc w:val="left"/>
      </w:pPr>
      <w:r>
        <w:rPr>
          <w:rFonts w:ascii="Arial" w:cs="Arial" w:eastAsia="Arial" w:hAnsi="Arial"/>
          <w:sz w:val="21"/>
          <w:szCs w:val="21"/>
        </w:rPr>
        <w:t xml:space="preserve">Telefon/Fax: 0257 433 108   |   E-mail: primariabarzava@gmail.com</w:t>
      </w:r>
    </w:p>
    <w:sectPr>
      <w:headerReference w:type="default" r:id="rId6"/>
      <w:footerReference w:type="default" r:id="rId7"/>
      <w:pgSz w:w="11906" w:h="16838" w:orient="portrait"/>
      <w:pgMar w:top="1600" w:right="1134" w:bottom="1700" w:left="1134" w:header="400"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drawing>
        <wp:inline distT="0" distB="0" distL="0" distR="0">
          <wp:extent cx="5334000" cy="9429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334000" cy="9429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447675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476750" cy="5619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6b4bc7e46ef33dc466e3843068c681d85dbb423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9e71d09ed7e532ade4b910fe9c30cd8f51fe5f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2026-10-26T09:36:52.645Z</dcterms:created>
  <dcterms:modified xsi:type="dcterms:W3CDTF">2026-10-26T09:36:52.645Z</dcterms:modified>
</cp:coreProperties>
</file>

<file path=docProps/custom.xml><?xml version="1.0" encoding="utf-8"?>
<Properties xmlns="http://schemas.openxmlformats.org/officeDocument/2006/custom-properties" xmlns:vt="http://schemas.openxmlformats.org/officeDocument/2006/docPropsVTypes"/>
</file>